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2376488</wp:posOffset>
            </wp:positionH>
            <wp:positionV relativeFrom="paragraph">
              <wp:posOffset>152400</wp:posOffset>
            </wp:positionV>
            <wp:extent cx="1185863" cy="1185863"/>
            <wp:effectExtent b="0" l="0" r="0" t="0"/>
            <wp:wrapSquare wrapText="bothSides" distB="152400" distT="152400" distL="152400" distR="152400"/>
            <wp:docPr id="10737418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185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TRHS Foundation Meeting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March 8,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The Roosevelt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 Foundation</w:t>
      </w: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 works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 to celebrate </w:t>
      </w: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Roosevelt’s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history and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traditions,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and to support Roosevelt</w:t>
      </w: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 current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 and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faculty</w:t>
      </w: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&amp; Call to Order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Introduction of Neumann Monson Architects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Channing Swanson, AIA, Principal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Cheung Chan, AIA, Project Manager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February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Treasurer's Report </w:t>
      </w:r>
    </w:p>
    <w:p w:rsidR="00000000" w:rsidDel="00000000" w:rsidP="00000000" w:rsidRDefault="00000000" w:rsidRPr="00000000" w14:paraId="0000001A">
      <w:pPr>
        <w:ind w:left="36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Principal’s Report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Reports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Alumni Relations + Events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Rider Cup Sponsor Brainstorm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Communications + Marketing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Scholarships + Grants Committee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Capital Campaign Committee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Library Revisioned Design Services Contract: Neumann Monson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Other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Development Plan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Review Calendar: Committee Activities through Summer 2021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Thank Yous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numbering" w:styleId="Numbered">
    <w:name w:val="Numbered"/>
    <w:pPr>
      <w:numPr>
        <w:numId w:val="1"/>
      </w:numPr>
    </w:pPr>
  </w:style>
  <w:style w:type="numbering" w:styleId="Dash">
    <w:name w:val="Dash"/>
    <w:pPr>
      <w:numPr>
        <w:numId w:val="3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2JDWcBj0xn9L3RO3X/e8GHBD/g==">AMUW2mVtXG6YlBt8xoedtN/4NweRhLyY2k1tPSNRv8+t8Q9vCJkQrvDXENzPeWKNCdmqZ6m2bmJlPZweakAZdENGxkp2+VkRFv7vUqgM3FVd+9y116g5Eu0=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